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81DB7">
      <w:pPr>
        <w:spacing w:line="480" w:lineRule="auto"/>
        <w:ind w:left="2520" w:firstLine="420"/>
        <w:rPr>
          <w:rFonts w:ascii="Times New Roman" w:hAnsi="Times New Roman"/>
          <w:sz w:val="24"/>
          <w:szCs w:val="24"/>
        </w:rPr>
      </w:pPr>
    </w:p>
    <w:p w:rsidR="00000000" w:rsidRDefault="00781DB7">
      <w:pPr>
        <w:spacing w:line="480" w:lineRule="auto"/>
        <w:ind w:left="2520" w:firstLine="420"/>
        <w:rPr>
          <w:rFonts w:ascii="Times New Roman" w:hAnsi="Times New Roman"/>
          <w:sz w:val="24"/>
          <w:szCs w:val="24"/>
        </w:rPr>
      </w:pPr>
    </w:p>
    <w:p w:rsidR="00000000" w:rsidRDefault="00781DB7">
      <w:pPr>
        <w:spacing w:line="480" w:lineRule="auto"/>
        <w:ind w:left="2520" w:firstLine="420"/>
        <w:rPr>
          <w:rFonts w:ascii="Times New Roman" w:hAnsi="Times New Roman"/>
          <w:sz w:val="24"/>
          <w:szCs w:val="24"/>
        </w:rPr>
      </w:pPr>
    </w:p>
    <w:p w:rsidR="00000000" w:rsidRDefault="00781DB7">
      <w:pPr>
        <w:spacing w:line="480" w:lineRule="auto"/>
        <w:ind w:left="2520" w:firstLine="420"/>
        <w:rPr>
          <w:rFonts w:ascii="Times New Roman" w:hAnsi="Times New Roman"/>
          <w:sz w:val="24"/>
          <w:szCs w:val="24"/>
        </w:rPr>
      </w:pPr>
    </w:p>
    <w:p w:rsidR="00000000" w:rsidRDefault="00781DB7">
      <w:pPr>
        <w:spacing w:line="480" w:lineRule="auto"/>
        <w:ind w:firstLineChars="1141" w:firstLine="2738"/>
        <w:rPr>
          <w:rFonts w:ascii="Times New Roman" w:hAnsi="Times New Roman"/>
          <w:sz w:val="24"/>
          <w:szCs w:val="24"/>
        </w:rPr>
      </w:pPr>
      <w:bookmarkStart w:id="0" w:name="_GoBack"/>
      <w:r>
        <w:rPr>
          <w:rFonts w:ascii="Times New Roman" w:hAnsi="Times New Roman"/>
          <w:sz w:val="24"/>
          <w:szCs w:val="24"/>
        </w:rPr>
        <w:t>Trigeminal Neuralgia: A Case Study Report</w:t>
      </w:r>
    </w:p>
    <w:bookmarkEnd w:id="0"/>
    <w:p w:rsidR="00000000" w:rsidRDefault="00781DB7">
      <w:pPr>
        <w:spacing w:line="480" w:lineRule="auto"/>
        <w:contextualSpacing/>
        <w:jc w:val="center"/>
        <w:rPr>
          <w:rFonts w:ascii="Times New Roman" w:hAnsi="Times New Roman"/>
          <w:sz w:val="24"/>
          <w:szCs w:val="24"/>
        </w:rPr>
      </w:pPr>
      <w:r>
        <w:rPr>
          <w:rFonts w:ascii="Times New Roman" w:hAnsi="Times New Roman"/>
          <w:sz w:val="24"/>
          <w:szCs w:val="24"/>
        </w:rPr>
        <w:t>Student’s Name</w:t>
      </w:r>
    </w:p>
    <w:p w:rsidR="00000000" w:rsidRDefault="00781DB7">
      <w:pPr>
        <w:spacing w:line="480" w:lineRule="auto"/>
        <w:contextualSpacing/>
        <w:jc w:val="center"/>
        <w:rPr>
          <w:rFonts w:ascii="Times New Roman" w:hAnsi="Times New Roman"/>
          <w:sz w:val="24"/>
          <w:szCs w:val="24"/>
        </w:rPr>
      </w:pPr>
      <w:r>
        <w:rPr>
          <w:rFonts w:ascii="Times New Roman" w:hAnsi="Times New Roman"/>
          <w:sz w:val="24"/>
          <w:szCs w:val="24"/>
        </w:rPr>
        <w:t>Institutional Affiliation</w:t>
      </w:r>
    </w:p>
    <w:p w:rsidR="00000000" w:rsidRDefault="00781DB7">
      <w:pPr>
        <w:spacing w:line="480" w:lineRule="auto"/>
        <w:ind w:firstLineChars="1500" w:firstLine="3600"/>
        <w:rPr>
          <w:rFonts w:ascii="Times New Roman" w:hAnsi="Times New Roman"/>
          <w:sz w:val="24"/>
          <w:szCs w:val="24"/>
        </w:rPr>
      </w:pPr>
      <w:r>
        <w:rPr>
          <w:rFonts w:ascii="Times New Roman" w:hAnsi="Times New Roman"/>
          <w:sz w:val="24"/>
          <w:szCs w:val="24"/>
        </w:rPr>
        <w:t>Course Name</w:t>
      </w:r>
    </w:p>
    <w:p w:rsidR="00000000" w:rsidRDefault="00781DB7">
      <w:pPr>
        <w:spacing w:line="480" w:lineRule="auto"/>
        <w:ind w:firstLineChars="1450" w:firstLine="3480"/>
        <w:rPr>
          <w:rFonts w:ascii="Times New Roman" w:hAnsi="Times New Roman"/>
          <w:sz w:val="24"/>
          <w:szCs w:val="24"/>
        </w:rPr>
      </w:pPr>
      <w:r>
        <w:rPr>
          <w:rFonts w:ascii="Times New Roman" w:hAnsi="Times New Roman"/>
          <w:sz w:val="24"/>
          <w:szCs w:val="24"/>
        </w:rPr>
        <w:t>Instructor’s name</w:t>
      </w:r>
    </w:p>
    <w:p w:rsidR="00000000" w:rsidRDefault="00781DB7">
      <w:pPr>
        <w:spacing w:line="480" w:lineRule="auto"/>
        <w:ind w:firstLineChars="1700" w:firstLine="4080"/>
        <w:rPr>
          <w:rFonts w:ascii="Times New Roman" w:hAnsi="Times New Roman"/>
          <w:sz w:val="24"/>
          <w:szCs w:val="24"/>
        </w:rPr>
      </w:pPr>
      <w:r>
        <w:rPr>
          <w:rFonts w:ascii="Times New Roman" w:hAnsi="Times New Roman"/>
          <w:sz w:val="24"/>
          <w:szCs w:val="24"/>
        </w:rPr>
        <w:t>Date</w:t>
      </w:r>
    </w:p>
    <w:p w:rsidR="00000000" w:rsidRDefault="00781DB7">
      <w:pPr>
        <w:spacing w:line="480" w:lineRule="auto"/>
        <w:ind w:firstLineChars="1141" w:firstLine="2738"/>
        <w:rPr>
          <w:rFonts w:ascii="Times New Roman" w:hAnsi="Times New Roman"/>
          <w:sz w:val="24"/>
          <w:szCs w:val="24"/>
        </w:rPr>
        <w:sectPr w:rsidR="00000000">
          <w:headerReference w:type="default" r:id="rId6"/>
          <w:headerReference w:type="first" r:id="rId7"/>
          <w:pgSz w:w="11906" w:h="16838"/>
          <w:pgMar w:top="1440" w:right="1800" w:bottom="1440" w:left="1800" w:header="720" w:footer="720" w:gutter="0"/>
          <w:cols w:space="720"/>
          <w:titlePg/>
          <w:docGrid w:linePitch="360"/>
        </w:sectPr>
      </w:pPr>
    </w:p>
    <w:p w:rsidR="00000000" w:rsidRPr="008E2534" w:rsidRDefault="00781DB7">
      <w:pPr>
        <w:spacing w:line="480" w:lineRule="auto"/>
        <w:ind w:firstLineChars="1141" w:firstLine="2738"/>
        <w:rPr>
          <w:rFonts w:ascii="Times New Roman" w:hAnsi="Times New Roman"/>
          <w:sz w:val="24"/>
          <w:szCs w:val="24"/>
        </w:rPr>
      </w:pPr>
      <w:r w:rsidRPr="008E2534">
        <w:rPr>
          <w:rFonts w:ascii="Times New Roman" w:hAnsi="Times New Roman"/>
          <w:sz w:val="24"/>
          <w:szCs w:val="24"/>
        </w:rPr>
        <w:lastRenderedPageBreak/>
        <w:t>Trigeminal Neuralgia: A case study report</w:t>
      </w:r>
    </w:p>
    <w:p w:rsidR="00000000" w:rsidRPr="008E2534" w:rsidRDefault="00781DB7">
      <w:pPr>
        <w:spacing w:line="480" w:lineRule="auto"/>
        <w:rPr>
          <w:rFonts w:ascii="Times New Roman" w:hAnsi="Times New Roman"/>
          <w:b/>
          <w:bCs/>
          <w:sz w:val="24"/>
          <w:szCs w:val="24"/>
        </w:rPr>
      </w:pPr>
      <w:r w:rsidRPr="008E2534">
        <w:rPr>
          <w:rFonts w:ascii="Times New Roman" w:hAnsi="Times New Roman"/>
          <w:b/>
          <w:bCs/>
          <w:sz w:val="24"/>
          <w:szCs w:val="24"/>
        </w:rPr>
        <w:t>Introduction</w:t>
      </w:r>
    </w:p>
    <w:p w:rsidR="00000000" w:rsidRPr="008E2534" w:rsidRDefault="00781DB7">
      <w:pPr>
        <w:spacing w:line="480" w:lineRule="auto"/>
        <w:ind w:firstLineChars="200" w:firstLine="480"/>
        <w:rPr>
          <w:rFonts w:ascii="Times New Roman" w:hAnsi="Times New Roman"/>
          <w:sz w:val="24"/>
          <w:szCs w:val="24"/>
        </w:rPr>
      </w:pPr>
      <w:r w:rsidRPr="008E2534">
        <w:rPr>
          <w:rFonts w:ascii="Times New Roman" w:hAnsi="Times New Roman"/>
          <w:sz w:val="24"/>
          <w:szCs w:val="24"/>
        </w:rPr>
        <w:t xml:space="preserve">Trigeminal neuralgia is a condition defined as a sudden outburst of explosive </w:t>
      </w:r>
      <w:r w:rsidRPr="008E2534">
        <w:rPr>
          <w:rFonts w:ascii="Times New Roman" w:hAnsi="Times New Roman"/>
          <w:sz w:val="24"/>
          <w:szCs w:val="24"/>
        </w:rPr>
        <w:t>pain in the area of distribution of the branches of trigeminal nerve,which is the cranial nerve V. This pain is brought about by certain factors called trigger factors. Some of the trigger factors are; talking, chewing, brushing of teeth, smiling, face tou</w:t>
      </w:r>
      <w:r w:rsidRPr="008E2534">
        <w:rPr>
          <w:rFonts w:ascii="Times New Roman" w:hAnsi="Times New Roman"/>
          <w:sz w:val="24"/>
          <w:szCs w:val="24"/>
        </w:rPr>
        <w:t>ching, a wind  breeze and shaving. There are 2 types of trigeminal neuralgia; classical trigeminal neuralgia and symptomatic trigeminal neuralgia</w:t>
      </w:r>
      <w:r w:rsidRPr="008E2534">
        <w:rPr>
          <w:rFonts w:ascii="Times New Roman" w:hAnsi="Times New Roman"/>
          <w:sz w:val="24"/>
          <w:szCs w:val="24"/>
        </w:rPr>
        <w:t>(Truini, 2015)</w:t>
      </w:r>
    </w:p>
    <w:p w:rsidR="00000000" w:rsidRPr="008E2534" w:rsidRDefault="00781DB7">
      <w:pPr>
        <w:spacing w:line="480" w:lineRule="auto"/>
        <w:ind w:firstLineChars="200" w:firstLine="480"/>
        <w:rPr>
          <w:rFonts w:ascii="Times New Roman" w:hAnsi="Times New Roman"/>
          <w:sz w:val="24"/>
          <w:szCs w:val="24"/>
        </w:rPr>
      </w:pPr>
      <w:r w:rsidRPr="008E2534">
        <w:rPr>
          <w:rFonts w:ascii="Times New Roman" w:hAnsi="Times New Roman"/>
          <w:sz w:val="24"/>
          <w:szCs w:val="24"/>
        </w:rPr>
        <w:t xml:space="preserve">Trigeminal neuralgia can be diagnosed by medical professionals through a series of neurological </w:t>
      </w:r>
      <w:r w:rsidRPr="008E2534">
        <w:rPr>
          <w:rFonts w:ascii="Times New Roman" w:hAnsi="Times New Roman"/>
          <w:sz w:val="24"/>
          <w:szCs w:val="24"/>
        </w:rPr>
        <w:t xml:space="preserve">examinations to determine the branch of CN V that is affected and Magnetic Resonance Imaging which might reveal the underlying cause of the condition. </w:t>
      </w:r>
    </w:p>
    <w:p w:rsidR="00000000" w:rsidRPr="008E2534" w:rsidRDefault="00781DB7">
      <w:pPr>
        <w:spacing w:line="480" w:lineRule="auto"/>
        <w:rPr>
          <w:rFonts w:ascii="Times New Roman" w:hAnsi="Times New Roman"/>
          <w:b/>
          <w:bCs/>
          <w:sz w:val="24"/>
          <w:szCs w:val="24"/>
        </w:rPr>
      </w:pPr>
      <w:r w:rsidRPr="008E2534">
        <w:rPr>
          <w:rFonts w:ascii="Times New Roman" w:hAnsi="Times New Roman"/>
          <w:b/>
          <w:bCs/>
          <w:sz w:val="24"/>
          <w:szCs w:val="24"/>
        </w:rPr>
        <w:t>Case Report</w:t>
      </w:r>
    </w:p>
    <w:p w:rsidR="00000000" w:rsidRPr="008E2534" w:rsidRDefault="00781DB7">
      <w:pPr>
        <w:spacing w:line="480" w:lineRule="auto"/>
        <w:ind w:firstLineChars="200" w:firstLine="480"/>
        <w:rPr>
          <w:rFonts w:ascii="Times New Roman" w:hAnsi="Times New Roman"/>
          <w:sz w:val="24"/>
          <w:szCs w:val="24"/>
        </w:rPr>
      </w:pPr>
      <w:r w:rsidRPr="008E2534">
        <w:rPr>
          <w:rFonts w:ascii="Times New Roman" w:hAnsi="Times New Roman"/>
          <w:sz w:val="24"/>
          <w:szCs w:val="24"/>
        </w:rPr>
        <w:t>Mrs. T, a 55 year old woman, came to the hospital complaining of sudden bursts of intense ri</w:t>
      </w:r>
      <w:r w:rsidRPr="008E2534">
        <w:rPr>
          <w:rFonts w:ascii="Times New Roman" w:hAnsi="Times New Roman"/>
          <w:sz w:val="24"/>
          <w:szCs w:val="24"/>
        </w:rPr>
        <w:t>ght-sided pain that usually resolved as quickly as it appeared. The outbursts of pain began 2 weeks ago and the frequency of the episodes had increased in the past week from 2-3 to 7 or more each day. This severe pain was triggered by certain activities an</w:t>
      </w:r>
      <w:r w:rsidRPr="008E2534">
        <w:rPr>
          <w:rFonts w:ascii="Times New Roman" w:hAnsi="Times New Roman"/>
          <w:sz w:val="24"/>
          <w:szCs w:val="24"/>
        </w:rPr>
        <w:t>d her VAS score was 5.</w:t>
      </w:r>
      <w:r w:rsidRPr="008E2534">
        <w:rPr>
          <w:rFonts w:ascii="Times New Roman" w:hAnsi="Times New Roman"/>
          <w:sz w:val="24"/>
          <w:szCs w:val="24"/>
        </w:rPr>
        <w:t>(Yang et al, 2019)</w:t>
      </w:r>
    </w:p>
    <w:p w:rsidR="00000000" w:rsidRPr="008E2534" w:rsidRDefault="00781DB7">
      <w:pPr>
        <w:spacing w:line="480" w:lineRule="auto"/>
        <w:ind w:firstLineChars="200" w:firstLine="480"/>
        <w:rPr>
          <w:rFonts w:ascii="Times New Roman" w:hAnsi="Times New Roman"/>
          <w:sz w:val="24"/>
          <w:szCs w:val="24"/>
        </w:rPr>
      </w:pPr>
      <w:r w:rsidRPr="008E2534">
        <w:rPr>
          <w:rFonts w:ascii="Times New Roman" w:hAnsi="Times New Roman"/>
          <w:sz w:val="24"/>
          <w:szCs w:val="24"/>
        </w:rPr>
        <w:t xml:space="preserve"> A radiological investigation came out normal. The patient had no history of chronic diseases such as diabetes mellitus and hepatitis. An MRI test revealed a vascular compression of the cranial nerve by the superior</w:t>
      </w:r>
      <w:r w:rsidRPr="008E2534">
        <w:rPr>
          <w:rFonts w:ascii="Times New Roman" w:hAnsi="Times New Roman"/>
          <w:sz w:val="24"/>
          <w:szCs w:val="24"/>
        </w:rPr>
        <w:t xml:space="preserve"> cerebellar artery on the right side and a diagnosis of trigeminal neuralgia was made.</w:t>
      </w:r>
    </w:p>
    <w:p w:rsidR="00000000" w:rsidRDefault="00781DB7">
      <w:pPr>
        <w:spacing w:line="480" w:lineRule="auto"/>
        <w:ind w:firstLineChars="200" w:firstLine="480"/>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hatsApp Image 2021-07-06 at 22.11.00" style="width:315pt;height:315pt;mso-position-horizontal-relative:page;mso-position-vertical-relative:page">
            <v:fill o:detectmouseclick="t"/>
            <v:imagedata r:id="rId8" o:title="WhatsApp Image 2021-07-06 at 22.11" embosscolor="white"/>
          </v:shape>
        </w:pict>
      </w:r>
    </w:p>
    <w:p w:rsidR="00000000" w:rsidRPr="008E2534" w:rsidRDefault="00781DB7">
      <w:pPr>
        <w:spacing w:line="480" w:lineRule="auto"/>
        <w:ind w:firstLineChars="50" w:firstLine="120"/>
        <w:rPr>
          <w:rFonts w:ascii="Times New Roman" w:hAnsi="Times New Roman"/>
          <w:sz w:val="24"/>
          <w:szCs w:val="24"/>
        </w:rPr>
      </w:pPr>
      <w:r w:rsidRPr="008E2534">
        <w:rPr>
          <w:rFonts w:ascii="Times New Roman" w:hAnsi="Times New Roman"/>
          <w:sz w:val="24"/>
          <w:szCs w:val="24"/>
        </w:rPr>
        <w:t>The right superior cerebellar artery loop is in contact with the right trigeminal nerve causing thinning of the nerve at this region. The left trigeminal nerve is norm</w:t>
      </w:r>
      <w:r w:rsidRPr="008E2534">
        <w:rPr>
          <w:rFonts w:ascii="Times New Roman" w:hAnsi="Times New Roman"/>
          <w:sz w:val="24"/>
          <w:szCs w:val="24"/>
        </w:rPr>
        <w:t>al.</w:t>
      </w:r>
    </w:p>
    <w:p w:rsidR="00000000" w:rsidRPr="008E2534" w:rsidRDefault="00781DB7">
      <w:pPr>
        <w:spacing w:line="480" w:lineRule="auto"/>
        <w:ind w:firstLineChars="350" w:firstLine="840"/>
        <w:rPr>
          <w:rFonts w:ascii="Times New Roman" w:hAnsi="Times New Roman"/>
          <w:sz w:val="24"/>
          <w:szCs w:val="24"/>
        </w:rPr>
      </w:pPr>
      <w:r w:rsidRPr="008E2534">
        <w:rPr>
          <w:rFonts w:ascii="Times New Roman" w:hAnsi="Times New Roman"/>
          <w:sz w:val="24"/>
          <w:szCs w:val="24"/>
        </w:rPr>
        <w:t>The patient was started on oral medication of Carbamazepine (Equetro), 200 mg a day. After two months, at a check-up appointment, the patient reported a reduction in the frequency and intensity of pain episodes to a VAS score of 3</w:t>
      </w:r>
      <w:r w:rsidRPr="008E2534">
        <w:rPr>
          <w:rFonts w:ascii="Times New Roman" w:hAnsi="Times New Roman"/>
          <w:sz w:val="24"/>
          <w:szCs w:val="24"/>
        </w:rPr>
        <w:t>(Delgado et al, 2018).</w:t>
      </w:r>
      <w:r w:rsidRPr="008E2534">
        <w:rPr>
          <w:rFonts w:ascii="Times New Roman" w:hAnsi="Times New Roman"/>
          <w:sz w:val="24"/>
          <w:szCs w:val="24"/>
        </w:rPr>
        <w:t xml:space="preserve">However, a year later, the patient returned complaining of severe paroxysmal pain episodes that lasted a few minutes with a frequency of 20 or more each day.  The medication was no longer effective. As a result, a microvascular decompression procedure was </w:t>
      </w:r>
      <w:r w:rsidRPr="008E2534">
        <w:rPr>
          <w:rFonts w:ascii="Times New Roman" w:hAnsi="Times New Roman"/>
          <w:sz w:val="24"/>
          <w:szCs w:val="24"/>
        </w:rPr>
        <w:t>carried out to relieve the trigeminal nerve of compression by the superior cerebellar artery on the right side. After the operation, the patient’s symptoms resolved.</w:t>
      </w:r>
    </w:p>
    <w:p w:rsidR="00000000" w:rsidRPr="008E2534" w:rsidRDefault="00781DB7">
      <w:pPr>
        <w:spacing w:line="480" w:lineRule="auto"/>
        <w:rPr>
          <w:rFonts w:ascii="Times New Roman" w:hAnsi="Times New Roman"/>
          <w:b/>
          <w:bCs/>
          <w:sz w:val="24"/>
          <w:szCs w:val="24"/>
        </w:rPr>
      </w:pPr>
      <w:r w:rsidRPr="008E2534">
        <w:rPr>
          <w:rFonts w:ascii="Times New Roman" w:hAnsi="Times New Roman"/>
          <w:b/>
          <w:bCs/>
          <w:sz w:val="24"/>
          <w:szCs w:val="24"/>
        </w:rPr>
        <w:t>Findings</w:t>
      </w:r>
    </w:p>
    <w:p w:rsidR="00000000" w:rsidRPr="008E2534" w:rsidRDefault="00781DB7">
      <w:pPr>
        <w:spacing w:line="480" w:lineRule="auto"/>
        <w:ind w:firstLineChars="350" w:firstLine="840"/>
        <w:rPr>
          <w:rFonts w:ascii="Times New Roman" w:hAnsi="Times New Roman"/>
          <w:sz w:val="24"/>
          <w:szCs w:val="24"/>
        </w:rPr>
      </w:pPr>
      <w:r w:rsidRPr="008E2534">
        <w:rPr>
          <w:rFonts w:ascii="Times New Roman" w:hAnsi="Times New Roman"/>
          <w:sz w:val="24"/>
          <w:szCs w:val="24"/>
        </w:rPr>
        <w:t>Oral medication is most preferred as a first-line of  treatment for trigeminal ne</w:t>
      </w:r>
      <w:r w:rsidRPr="008E2534">
        <w:rPr>
          <w:rFonts w:ascii="Times New Roman" w:hAnsi="Times New Roman"/>
          <w:sz w:val="24"/>
          <w:szCs w:val="24"/>
        </w:rPr>
        <w:t xml:space="preserve">uralgia as it is not invasive, is cheaper and very effective.Patients could be prescribed with medications such as Carbamazepine (Equetro),  Lioresal or Oxcarbazepine, which has fewer side effects compared to Carbamazepine (Equetro) In the case where oral </w:t>
      </w:r>
      <w:r w:rsidRPr="008E2534">
        <w:rPr>
          <w:rFonts w:ascii="Times New Roman" w:hAnsi="Times New Roman"/>
          <w:sz w:val="24"/>
          <w:szCs w:val="24"/>
        </w:rPr>
        <w:t xml:space="preserve">medication is not effective, surgical interventions may be considered to relieve the trigeminal nerve of vascular compression. </w:t>
      </w:r>
    </w:p>
    <w:p w:rsidR="00000000" w:rsidRDefault="00781DB7">
      <w:pPr>
        <w:spacing w:line="480" w:lineRule="auto"/>
        <w:ind w:firstLineChars="350" w:firstLine="840"/>
        <w:rPr>
          <w:rFonts w:ascii="Times New Roman" w:hAnsi="Times New Roman"/>
          <w:sz w:val="24"/>
          <w:szCs w:val="24"/>
        </w:rPr>
      </w:pPr>
    </w:p>
    <w:p w:rsidR="00000000" w:rsidRDefault="008E2534">
      <w:pPr>
        <w:spacing w:line="480" w:lineRule="auto"/>
        <w:ind w:firstLineChars="1300" w:firstLine="3132"/>
        <w:rPr>
          <w:rFonts w:ascii="Times New Roman" w:hAnsi="Times New Roman"/>
          <w:b/>
          <w:bCs/>
          <w:sz w:val="24"/>
          <w:szCs w:val="24"/>
        </w:rPr>
      </w:pPr>
      <w:r>
        <w:rPr>
          <w:rFonts w:ascii="Times New Roman" w:hAnsi="Times New Roman"/>
          <w:b/>
          <w:bCs/>
          <w:sz w:val="24"/>
          <w:szCs w:val="24"/>
        </w:rPr>
        <w:br w:type="page"/>
      </w:r>
      <w:r w:rsidR="00781DB7">
        <w:rPr>
          <w:rFonts w:ascii="Times New Roman" w:hAnsi="Times New Roman"/>
          <w:b/>
          <w:bCs/>
          <w:sz w:val="24"/>
          <w:szCs w:val="24"/>
        </w:rPr>
        <w:t>References</w:t>
      </w:r>
    </w:p>
    <w:p w:rsidR="00000000" w:rsidRDefault="00781DB7">
      <w:pPr>
        <w:spacing w:line="480" w:lineRule="auto"/>
        <w:ind w:left="480" w:hangingChars="200" w:hanging="480"/>
        <w:rPr>
          <w:rFonts w:ascii="Times New Roman" w:hAnsi="Times New Roman"/>
          <w:sz w:val="24"/>
          <w:szCs w:val="24"/>
        </w:rPr>
      </w:pPr>
      <w:r>
        <w:rPr>
          <w:rFonts w:ascii="Times New Roman" w:hAnsi="Times New Roman"/>
          <w:sz w:val="24"/>
          <w:szCs w:val="24"/>
        </w:rPr>
        <w:t>Yang, X. H., Li, Y., Yang, L. Q., Wu, B. S., &amp; Ni, J. X. (2019). Nerve coblation for treatment of trigeminal neuralg</w:t>
      </w:r>
      <w:r>
        <w:rPr>
          <w:rFonts w:ascii="Times New Roman" w:hAnsi="Times New Roman"/>
          <w:sz w:val="24"/>
          <w:szCs w:val="24"/>
        </w:rPr>
        <w:t xml:space="preserve">ia: A case report. World journal of clinical cases, 7(9), 1060–1065. </w:t>
      </w:r>
      <w:hyperlink r:id="rId9" w:history="1">
        <w:r>
          <w:rPr>
            <w:rStyle w:val="Hyperlink"/>
            <w:rFonts w:ascii="Times New Roman" w:hAnsi="Times New Roman"/>
            <w:sz w:val="24"/>
            <w:szCs w:val="24"/>
          </w:rPr>
          <w:t>https://doi.org/10.12998/wjcc.v7.i9.1060</w:t>
        </w:r>
      </w:hyperlink>
    </w:p>
    <w:p w:rsidR="00000000" w:rsidRDefault="00781DB7">
      <w:pPr>
        <w:spacing w:line="480" w:lineRule="auto"/>
        <w:ind w:left="480" w:hangingChars="200" w:hanging="480"/>
        <w:rPr>
          <w:rFonts w:ascii="Times New Roman" w:hAnsi="Times New Roman"/>
          <w:sz w:val="24"/>
          <w:szCs w:val="24"/>
        </w:rPr>
      </w:pPr>
      <w:r>
        <w:rPr>
          <w:rFonts w:ascii="Times New Roman" w:hAnsi="Times New Roman"/>
          <w:sz w:val="24"/>
          <w:szCs w:val="24"/>
        </w:rPr>
        <w:t>Truini A. (2015). Trigeminal neuralgia. The journal of headache and pain, 16(Suppl 1), A4</w:t>
      </w:r>
      <w:r>
        <w:rPr>
          <w:rFonts w:ascii="Times New Roman" w:hAnsi="Times New Roman"/>
          <w:sz w:val="24"/>
          <w:szCs w:val="24"/>
        </w:rPr>
        <w:t xml:space="preserve">2. </w:t>
      </w:r>
      <w:hyperlink r:id="rId10" w:history="1">
        <w:r>
          <w:rPr>
            <w:rStyle w:val="Hyperlink"/>
            <w:rFonts w:ascii="Times New Roman" w:hAnsi="Times New Roman"/>
            <w:sz w:val="24"/>
            <w:szCs w:val="24"/>
          </w:rPr>
          <w:t>https://doi.org/10.1186/1129-2377-16-S1-A42</w:t>
        </w:r>
      </w:hyperlink>
    </w:p>
    <w:p w:rsidR="00000000" w:rsidRDefault="00781DB7">
      <w:pPr>
        <w:spacing w:line="480" w:lineRule="auto"/>
        <w:ind w:left="480" w:hangingChars="200" w:hanging="480"/>
        <w:rPr>
          <w:rFonts w:ascii="Times New Roman" w:hAnsi="Times New Roman"/>
          <w:sz w:val="24"/>
          <w:szCs w:val="24"/>
        </w:rPr>
      </w:pPr>
      <w:r>
        <w:rPr>
          <w:rFonts w:ascii="Times New Roman" w:hAnsi="Times New Roman"/>
          <w:sz w:val="24"/>
          <w:szCs w:val="24"/>
        </w:rPr>
        <w:t>Delgado, D. A., Lambert, B. S., Boutris, N., McCulloch, P. C., Robbins, A. B., Moreno, M. R., &amp; Harris, J. D. (2018). Validation of Digital Visual An</w:t>
      </w:r>
      <w:r>
        <w:rPr>
          <w:rFonts w:ascii="Times New Roman" w:hAnsi="Times New Roman"/>
          <w:sz w:val="24"/>
          <w:szCs w:val="24"/>
        </w:rPr>
        <w:t xml:space="preserve">alog Scale Pain Scoring With a Traditional Paper-based Visual Analog Scale in Adults. Journal of the American Academy of Orthopaedic Surgeons. Global research &amp; reviews, 2(3), e088. </w:t>
      </w:r>
      <w:hyperlink r:id="rId11" w:history="1">
        <w:r>
          <w:rPr>
            <w:rStyle w:val="Hyperlink"/>
            <w:rFonts w:ascii="Times New Roman" w:hAnsi="Times New Roman"/>
            <w:sz w:val="24"/>
            <w:szCs w:val="24"/>
          </w:rPr>
          <w:t>https://doi.</w:t>
        </w:r>
        <w:r>
          <w:rPr>
            <w:rStyle w:val="Hyperlink"/>
            <w:rFonts w:ascii="Times New Roman" w:hAnsi="Times New Roman"/>
            <w:sz w:val="24"/>
            <w:szCs w:val="24"/>
          </w:rPr>
          <w:t>org/10.5435/JAAOSGlobal-D-17-00088</w:t>
        </w:r>
      </w:hyperlink>
    </w:p>
    <w:p w:rsidR="00000000" w:rsidRDefault="00781DB7">
      <w:pPr>
        <w:spacing w:line="480" w:lineRule="auto"/>
        <w:ind w:firstLineChars="350" w:firstLine="840"/>
        <w:rPr>
          <w:rFonts w:ascii="Times New Roman" w:hAnsi="Times New Roman"/>
          <w:sz w:val="24"/>
          <w:szCs w:val="24"/>
        </w:rPr>
      </w:pPr>
    </w:p>
    <w:p w:rsidR="00000000" w:rsidRDefault="00781DB7">
      <w:pPr>
        <w:spacing w:line="480" w:lineRule="auto"/>
        <w:ind w:firstLineChars="350" w:firstLine="840"/>
        <w:rPr>
          <w:rFonts w:ascii="Times New Roman" w:hAnsi="Times New Roman"/>
          <w:sz w:val="24"/>
          <w:szCs w:val="24"/>
        </w:rPr>
      </w:pPr>
    </w:p>
    <w:p w:rsidR="00000000" w:rsidRDefault="00781DB7">
      <w:pPr>
        <w:spacing w:line="480" w:lineRule="auto"/>
        <w:ind w:firstLineChars="200" w:firstLine="480"/>
        <w:rPr>
          <w:rFonts w:ascii="Times New Roman" w:hAnsi="Times New Roman"/>
          <w:sz w:val="24"/>
          <w:szCs w:val="24"/>
        </w:rPr>
      </w:pPr>
    </w:p>
    <w:p w:rsidR="00000000" w:rsidRDefault="00781DB7">
      <w:pPr>
        <w:spacing w:line="480" w:lineRule="auto"/>
        <w:ind w:firstLineChars="200" w:firstLine="480"/>
        <w:rPr>
          <w:rFonts w:ascii="Times New Roman" w:hAnsi="Times New Roman"/>
          <w:sz w:val="24"/>
          <w:szCs w:val="24"/>
        </w:rPr>
      </w:pPr>
    </w:p>
    <w:p w:rsidR="00000000" w:rsidRDefault="00781DB7">
      <w:pPr>
        <w:spacing w:line="480" w:lineRule="auto"/>
        <w:ind w:firstLineChars="200" w:firstLine="480"/>
        <w:rPr>
          <w:rFonts w:ascii="Times New Roman" w:hAnsi="Times New Roman"/>
          <w:sz w:val="24"/>
          <w:szCs w:val="24"/>
        </w:rPr>
        <w:sectPr w:rsidR="00000000">
          <w:pgSz w:w="11906" w:h="16838"/>
          <w:pgMar w:top="1440" w:right="1800" w:bottom="1440" w:left="1800" w:header="720" w:footer="720" w:gutter="0"/>
          <w:cols w:space="720"/>
          <w:titlePg/>
          <w:docGrid w:linePitch="360"/>
        </w:sectPr>
      </w:pPr>
    </w:p>
    <w:p w:rsidR="00781DB7" w:rsidRDefault="00781DB7">
      <w:pPr>
        <w:spacing w:line="480" w:lineRule="auto"/>
        <w:ind w:firstLineChars="200" w:firstLine="480"/>
        <w:rPr>
          <w:rFonts w:ascii="Times New Roman" w:hAnsi="Times New Roman"/>
          <w:sz w:val="24"/>
          <w:szCs w:val="24"/>
        </w:rPr>
      </w:pPr>
    </w:p>
    <w:sectPr w:rsidR="00781DB7">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B7" w:rsidRDefault="00781DB7">
      <w:r>
        <w:separator/>
      </w:r>
    </w:p>
  </w:endnote>
  <w:endnote w:type="continuationSeparator" w:id="0">
    <w:p w:rsidR="00781DB7" w:rsidRDefault="0078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B7" w:rsidRDefault="00781DB7">
      <w:r>
        <w:separator/>
      </w:r>
    </w:p>
  </w:footnote>
  <w:footnote w:type="continuationSeparator" w:id="0">
    <w:p w:rsidR="00781DB7" w:rsidRDefault="00781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Pr="008E2534" w:rsidRDefault="00781DB7">
    <w:pPr>
      <w:pStyle w:val="Header"/>
      <w:spacing w:line="480" w:lineRule="auto"/>
      <w:rPr>
        <w:rFonts w:ascii="Times New Roman" w:hAnsi="Times New Roman"/>
        <w:sz w:val="24"/>
        <w:szCs w:val="24"/>
      </w:rPr>
    </w:pPr>
    <w:r w:rsidRPr="008E2534">
      <w:rPr>
        <w:rFonts w:ascii="Times New Roman" w:hAnsi="Times New Roman"/>
        <w:sz w:val="24"/>
      </w:rPr>
      <w:t>TRIGEMINAL NEURALGIA</w:t>
    </w:r>
    <w:r w:rsidRPr="008E2534">
      <w:rPr>
        <w:rFonts w:ascii="Times New Roman" w:hAnsi="Times New Roman"/>
        <w:sz w:val="24"/>
      </w:rPr>
      <w:tab/>
    </w:r>
    <w:r w:rsidRPr="008E2534">
      <w:rPr>
        <w:rFonts w:ascii="Times New Roman" w:hAnsi="Times New Roman"/>
        <w:sz w:val="24"/>
      </w:rP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right;mso-position-horizontal-relative:margin;mso-position-vertical-relative:text" o:preferrelative="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v:fill o:detectmouseclick="t"/>
          <v:textbox style="mso-fit-shape-to-text:t" inset="0,0,0,0">
            <w:txbxContent>
              <w:p w:rsidR="00000000" w:rsidRDefault="00781DB7">
                <w:pPr>
                  <w:pStyle w:val="Header"/>
                </w:pPr>
                <w:r>
                  <w:fldChar w:fldCharType="begin"/>
                </w:r>
                <w:r>
                  <w:instrText xml:space="preserve"> PAGE  \* MERGEFORMAT </w:instrText>
                </w:r>
                <w:r>
                  <w:fldChar w:fldCharType="separate"/>
                </w:r>
                <w:r w:rsidR="008E2534">
                  <w:rPr>
                    <w:noProof/>
                  </w:rPr>
                  <w:t>3</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81DB7">
    <w:pPr>
      <w:pStyle w:val="Header"/>
      <w:rPr>
        <w:rFonts w:ascii="Times New Roman" w:hAnsi="Times New Roman"/>
        <w:sz w:val="22"/>
        <w:szCs w:val="22"/>
      </w:rPr>
    </w:pPr>
    <w:r>
      <w:rPr>
        <w:sz w:val="22"/>
      </w:rP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right;mso-position-horizontal-relative:margin;mso-position-vertical-relative:text" o:preferrelative="t"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filled="f" stroked="f">
          <v:fill o:detectmouseclick="t"/>
          <v:textbox style="mso-fit-shape-to-text:t" inset="0,0,0,0">
            <w:txbxContent>
              <w:p w:rsidR="00000000" w:rsidRDefault="00781DB7">
                <w:pPr>
                  <w:pStyle w:val="Header"/>
                </w:pPr>
                <w:r>
                  <w:fldChar w:fldCharType="begin"/>
                </w:r>
                <w:r>
                  <w:instrText xml:space="preserve"> PAGE  \* MERGEFORMAT </w:instrText>
                </w:r>
                <w:r>
                  <w:fldChar w:fldCharType="separate"/>
                </w:r>
                <w:r>
                  <w:rPr>
                    <w:noProof/>
                  </w:rPr>
                  <w:t>1</w:t>
                </w:r>
                <w:r>
                  <w:fldChar w:fldCharType="end"/>
                </w:r>
              </w:p>
            </w:txbxContent>
          </v:textbox>
        </v:shape>
      </w:pict>
    </w:r>
    <w:r>
      <w:rPr>
        <w:rFonts w:ascii="Times New Roman" w:hAnsi="Times New Roman"/>
        <w:sz w:val="22"/>
        <w:szCs w:val="22"/>
      </w:rPr>
      <w:t>TRIGEMINAL NEURALGIA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revisionView w:inkAnnotations="0"/>
  <w:doNotTrackMoves/>
  <w:defaultTabStop w:val="720"/>
  <w:drawingGridVerticalSpacing w:val="156"/>
  <w:displayHorizontalDrawingGridEvery w:val="0"/>
  <w:displayVerticalDrawingGridEvery w:val="2"/>
  <w:doNotShadeFormData/>
  <w:characterSpacingControl w:val="doNotCompress"/>
  <w:savePreviewPicture/>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781DB7"/>
    <w:rsid w:val="008E2534"/>
    <w:rsid w:val="0D2F0273"/>
    <w:rsid w:val="0F85470C"/>
    <w:rsid w:val="1E437E9F"/>
    <w:rsid w:val="25025946"/>
    <w:rsid w:val="295B7A8B"/>
    <w:rsid w:val="306140A4"/>
    <w:rsid w:val="3D07134A"/>
    <w:rsid w:val="461B7930"/>
    <w:rsid w:val="48146F98"/>
    <w:rsid w:val="58547115"/>
    <w:rsid w:val="60830A69"/>
    <w:rsid w:val="64717EB3"/>
    <w:rsid w:val="7934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lang w:eastAsia="zh-CN"/>
    </w:rPr>
  </w:style>
  <w:style w:type="character" w:default="1" w:styleId="DefaultParagraphFont">
    <w:name w:val="Default Paragraph Font"/>
    <w:rPr>
      <w:rFonts w:ascii="Calibri" w:eastAsia="SimSun" w:hAnsi="Calibri" w:cs="Times New Roman"/>
    </w:rPr>
  </w:style>
  <w:style w:type="table" w:default="1" w:styleId="TableNormal">
    <w:name w:val="Normal Table"/>
    <w:rPr>
      <w:rFonts w:cs="Times New Roman"/>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character" w:styleId="Hyperlink">
    <w:name w:val="Hyperlink"/>
    <w:rPr>
      <w:rFonts w:ascii="Calibri" w:eastAsia="SimSun" w:hAnsi="Calibri" w:cs="Times New Roman"/>
      <w:color w:val="0000FF"/>
      <w:u w:val="single"/>
    </w:rPr>
  </w:style>
  <w:style w:type="paragraph" w:styleId="Footer">
    <w:name w:val="footer"/>
    <w:basedOn w:val="Normal"/>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5435/JAAOSGlobal-D-17-00088" TargetMode="External"/><Relationship Id="rId5" Type="http://schemas.openxmlformats.org/officeDocument/2006/relationships/endnotes" Target="endnotes.xml"/><Relationship Id="rId10" Type="http://schemas.openxmlformats.org/officeDocument/2006/relationships/hyperlink" Target="https://doi.org/10.1186/1129-2377-16-S1-A42" TargetMode="External"/><Relationship Id="rId4" Type="http://schemas.openxmlformats.org/officeDocument/2006/relationships/footnotes" Target="footnotes.xml"/><Relationship Id="rId9" Type="http://schemas.openxmlformats.org/officeDocument/2006/relationships/hyperlink" Target="https://doi.org/10.12998/wjcc.v7.i9.10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1</TotalTime>
  <Pages>6</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2021-07-08T02:18:00Z</dcterms:created>
  <dcterms:modified xsi:type="dcterms:W3CDTF">2021-07-08T02:18:00Z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